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06D5B" w14:textId="43DFD106" w:rsidR="00011F30" w:rsidRPr="00E93FFE" w:rsidRDefault="00011F30" w:rsidP="008155BD">
      <w:pPr>
        <w:spacing w:line="480" w:lineRule="auto"/>
        <w:ind w:firstLine="720"/>
        <w:jc w:val="center"/>
        <w:rPr>
          <w:rFonts w:ascii="Times New Roman" w:hAnsi="Times New Roman" w:cs="Times New Roman"/>
          <w:sz w:val="24"/>
          <w:szCs w:val="24"/>
        </w:rPr>
      </w:pPr>
    </w:p>
    <w:p w14:paraId="7C629976" w14:textId="6DA62C3D" w:rsidR="00011F30" w:rsidRPr="00E93FFE" w:rsidRDefault="00011F30" w:rsidP="008155BD">
      <w:pPr>
        <w:spacing w:line="480" w:lineRule="auto"/>
        <w:ind w:firstLine="720"/>
        <w:jc w:val="center"/>
        <w:rPr>
          <w:rFonts w:ascii="Times New Roman" w:hAnsi="Times New Roman" w:cs="Times New Roman"/>
          <w:sz w:val="24"/>
          <w:szCs w:val="24"/>
        </w:rPr>
      </w:pPr>
    </w:p>
    <w:p w14:paraId="1AFC216A" w14:textId="559A9FB8" w:rsidR="00011F30" w:rsidRPr="00E93FFE" w:rsidRDefault="00011F30" w:rsidP="008155BD">
      <w:pPr>
        <w:spacing w:line="480" w:lineRule="auto"/>
        <w:ind w:firstLine="720"/>
        <w:jc w:val="center"/>
        <w:rPr>
          <w:rFonts w:ascii="Times New Roman" w:hAnsi="Times New Roman" w:cs="Times New Roman"/>
          <w:sz w:val="24"/>
          <w:szCs w:val="24"/>
        </w:rPr>
      </w:pPr>
    </w:p>
    <w:p w14:paraId="27EE493C" w14:textId="7B7C5225" w:rsidR="00011F30" w:rsidRPr="00E93FFE" w:rsidRDefault="00011F30" w:rsidP="008155BD">
      <w:pPr>
        <w:spacing w:line="480" w:lineRule="auto"/>
        <w:ind w:firstLine="720"/>
        <w:jc w:val="center"/>
        <w:rPr>
          <w:rFonts w:ascii="Times New Roman" w:hAnsi="Times New Roman" w:cs="Times New Roman"/>
          <w:sz w:val="24"/>
          <w:szCs w:val="24"/>
        </w:rPr>
      </w:pPr>
    </w:p>
    <w:p w14:paraId="6B683CFD" w14:textId="18F8B750" w:rsidR="00011F30" w:rsidRPr="00E93FFE" w:rsidRDefault="00011F30" w:rsidP="008155BD">
      <w:pPr>
        <w:spacing w:line="480" w:lineRule="auto"/>
        <w:ind w:firstLine="720"/>
        <w:jc w:val="center"/>
        <w:rPr>
          <w:rFonts w:ascii="Times New Roman" w:hAnsi="Times New Roman" w:cs="Times New Roman"/>
          <w:sz w:val="24"/>
          <w:szCs w:val="24"/>
        </w:rPr>
      </w:pPr>
    </w:p>
    <w:p w14:paraId="189D4637" w14:textId="649B70C3" w:rsidR="00011F30" w:rsidRPr="00E93FFE" w:rsidRDefault="00011F30" w:rsidP="008155BD">
      <w:pPr>
        <w:spacing w:line="480" w:lineRule="auto"/>
        <w:ind w:firstLine="720"/>
        <w:jc w:val="center"/>
        <w:rPr>
          <w:rFonts w:ascii="Times New Roman" w:hAnsi="Times New Roman" w:cs="Times New Roman"/>
          <w:sz w:val="24"/>
          <w:szCs w:val="24"/>
        </w:rPr>
      </w:pPr>
    </w:p>
    <w:p w14:paraId="1F6471EB" w14:textId="77777777" w:rsidR="00011F30" w:rsidRPr="00E93FFE" w:rsidRDefault="00CC03E2" w:rsidP="008155BD">
      <w:pPr>
        <w:spacing w:line="480" w:lineRule="auto"/>
        <w:ind w:firstLine="720"/>
        <w:jc w:val="center"/>
        <w:rPr>
          <w:rFonts w:ascii="Times New Roman" w:hAnsi="Times New Roman" w:cs="Times New Roman"/>
          <w:sz w:val="24"/>
          <w:szCs w:val="24"/>
        </w:rPr>
      </w:pPr>
      <w:r w:rsidRPr="00E93FFE">
        <w:rPr>
          <w:rFonts w:ascii="Times New Roman" w:hAnsi="Times New Roman" w:cs="Times New Roman"/>
          <w:sz w:val="24"/>
          <w:szCs w:val="24"/>
        </w:rPr>
        <w:t>Walmart Bonds</w:t>
      </w:r>
    </w:p>
    <w:p w14:paraId="584C2B38" w14:textId="77777777" w:rsidR="00011F30" w:rsidRPr="00E93FFE" w:rsidRDefault="00CC03E2" w:rsidP="008155BD">
      <w:pPr>
        <w:spacing w:line="480" w:lineRule="auto"/>
        <w:ind w:firstLine="720"/>
        <w:jc w:val="center"/>
        <w:rPr>
          <w:rFonts w:ascii="Times New Roman" w:hAnsi="Times New Roman" w:cs="Times New Roman"/>
          <w:sz w:val="24"/>
          <w:szCs w:val="24"/>
        </w:rPr>
      </w:pPr>
      <w:r w:rsidRPr="00E93FFE">
        <w:rPr>
          <w:rFonts w:ascii="Times New Roman" w:hAnsi="Times New Roman" w:cs="Times New Roman"/>
          <w:sz w:val="24"/>
          <w:szCs w:val="24"/>
        </w:rPr>
        <w:t>Student’s Name</w:t>
      </w:r>
    </w:p>
    <w:p w14:paraId="7063DBE9" w14:textId="711751A7" w:rsidR="00011F30" w:rsidRPr="00E93FFE" w:rsidRDefault="00CC03E2" w:rsidP="008155BD">
      <w:pPr>
        <w:spacing w:line="480" w:lineRule="auto"/>
        <w:ind w:firstLine="720"/>
        <w:jc w:val="center"/>
        <w:rPr>
          <w:rFonts w:ascii="Times New Roman" w:hAnsi="Times New Roman" w:cs="Times New Roman"/>
          <w:sz w:val="24"/>
          <w:szCs w:val="24"/>
        </w:rPr>
      </w:pPr>
      <w:r w:rsidRPr="00E93FFE">
        <w:rPr>
          <w:rFonts w:ascii="Times New Roman" w:hAnsi="Times New Roman" w:cs="Times New Roman"/>
          <w:sz w:val="24"/>
          <w:szCs w:val="24"/>
        </w:rPr>
        <w:t>Institution</w:t>
      </w:r>
    </w:p>
    <w:p w14:paraId="00C16B92" w14:textId="5167A1EB" w:rsidR="00011F30" w:rsidRPr="00E93FFE" w:rsidRDefault="00CC03E2" w:rsidP="008155BD">
      <w:pPr>
        <w:spacing w:line="480" w:lineRule="auto"/>
        <w:ind w:firstLine="720"/>
        <w:jc w:val="center"/>
        <w:rPr>
          <w:rFonts w:ascii="Times New Roman" w:hAnsi="Times New Roman" w:cs="Times New Roman"/>
          <w:sz w:val="24"/>
          <w:szCs w:val="24"/>
        </w:rPr>
      </w:pPr>
      <w:r w:rsidRPr="00E93FFE">
        <w:rPr>
          <w:rFonts w:ascii="Times New Roman" w:hAnsi="Times New Roman" w:cs="Times New Roman"/>
          <w:sz w:val="24"/>
          <w:szCs w:val="24"/>
        </w:rPr>
        <w:t>Course</w:t>
      </w:r>
    </w:p>
    <w:p w14:paraId="00B66F7B" w14:textId="77777777" w:rsidR="00011F30" w:rsidRPr="00E93FFE" w:rsidRDefault="00CC03E2" w:rsidP="008155BD">
      <w:pPr>
        <w:spacing w:line="480" w:lineRule="auto"/>
        <w:ind w:firstLine="720"/>
        <w:jc w:val="center"/>
        <w:rPr>
          <w:rFonts w:ascii="Times New Roman" w:hAnsi="Times New Roman" w:cs="Times New Roman"/>
          <w:sz w:val="24"/>
          <w:szCs w:val="24"/>
        </w:rPr>
      </w:pPr>
      <w:r w:rsidRPr="00E93FFE">
        <w:rPr>
          <w:rFonts w:ascii="Times New Roman" w:hAnsi="Times New Roman" w:cs="Times New Roman"/>
          <w:sz w:val="24"/>
          <w:szCs w:val="24"/>
        </w:rPr>
        <w:t>Professor’s Name</w:t>
      </w:r>
    </w:p>
    <w:p w14:paraId="33A20D05" w14:textId="512F5068" w:rsidR="00011F30" w:rsidRPr="00E93FFE" w:rsidRDefault="00CC03E2" w:rsidP="008155BD">
      <w:pPr>
        <w:spacing w:line="480" w:lineRule="auto"/>
        <w:ind w:firstLine="720"/>
        <w:jc w:val="center"/>
        <w:rPr>
          <w:rFonts w:ascii="Times New Roman" w:hAnsi="Times New Roman" w:cs="Times New Roman"/>
          <w:sz w:val="24"/>
          <w:szCs w:val="24"/>
        </w:rPr>
      </w:pPr>
      <w:r w:rsidRPr="00E93FFE">
        <w:rPr>
          <w:rFonts w:ascii="Times New Roman" w:hAnsi="Times New Roman" w:cs="Times New Roman"/>
          <w:sz w:val="24"/>
          <w:szCs w:val="24"/>
        </w:rPr>
        <w:t>Date</w:t>
      </w:r>
    </w:p>
    <w:p w14:paraId="08FACA82" w14:textId="77777777" w:rsidR="00011F30" w:rsidRPr="00E93FFE" w:rsidRDefault="00011F30" w:rsidP="008155BD">
      <w:pPr>
        <w:spacing w:line="480" w:lineRule="auto"/>
        <w:ind w:firstLine="720"/>
        <w:jc w:val="center"/>
        <w:rPr>
          <w:rFonts w:ascii="Times New Roman" w:hAnsi="Times New Roman" w:cs="Times New Roman"/>
          <w:sz w:val="24"/>
          <w:szCs w:val="24"/>
        </w:rPr>
      </w:pPr>
    </w:p>
    <w:p w14:paraId="2507EE77" w14:textId="77777777" w:rsidR="00011F30" w:rsidRPr="00E93FFE" w:rsidRDefault="00011F30" w:rsidP="008155BD">
      <w:pPr>
        <w:spacing w:line="480" w:lineRule="auto"/>
        <w:ind w:firstLine="720"/>
        <w:jc w:val="center"/>
        <w:rPr>
          <w:rFonts w:ascii="Times New Roman" w:hAnsi="Times New Roman" w:cs="Times New Roman"/>
          <w:sz w:val="24"/>
          <w:szCs w:val="24"/>
        </w:rPr>
      </w:pPr>
    </w:p>
    <w:p w14:paraId="7DF4B0B3" w14:textId="77777777" w:rsidR="00011F30" w:rsidRPr="00E93FFE" w:rsidRDefault="00011F30" w:rsidP="008155BD">
      <w:pPr>
        <w:spacing w:line="480" w:lineRule="auto"/>
        <w:ind w:firstLine="720"/>
        <w:jc w:val="center"/>
        <w:rPr>
          <w:rFonts w:ascii="Times New Roman" w:hAnsi="Times New Roman" w:cs="Times New Roman"/>
          <w:sz w:val="24"/>
          <w:szCs w:val="24"/>
        </w:rPr>
      </w:pPr>
    </w:p>
    <w:p w14:paraId="397DE7C1" w14:textId="77777777" w:rsidR="00011F30" w:rsidRPr="00E93FFE" w:rsidRDefault="00011F30" w:rsidP="008155BD">
      <w:pPr>
        <w:spacing w:line="480" w:lineRule="auto"/>
        <w:ind w:firstLine="720"/>
        <w:jc w:val="center"/>
        <w:rPr>
          <w:rFonts w:ascii="Times New Roman" w:hAnsi="Times New Roman" w:cs="Times New Roman"/>
          <w:sz w:val="24"/>
          <w:szCs w:val="24"/>
        </w:rPr>
      </w:pPr>
    </w:p>
    <w:p w14:paraId="1D3DAF99" w14:textId="77777777" w:rsidR="00011F30" w:rsidRPr="00E93FFE" w:rsidRDefault="00011F30" w:rsidP="008155BD">
      <w:pPr>
        <w:spacing w:line="480" w:lineRule="auto"/>
        <w:ind w:firstLine="720"/>
        <w:jc w:val="center"/>
        <w:rPr>
          <w:rFonts w:ascii="Times New Roman" w:hAnsi="Times New Roman" w:cs="Times New Roman"/>
          <w:sz w:val="24"/>
          <w:szCs w:val="24"/>
        </w:rPr>
      </w:pPr>
    </w:p>
    <w:p w14:paraId="55BDE49F" w14:textId="5ECA1757" w:rsidR="00011F30" w:rsidRPr="00E93FFE" w:rsidRDefault="00CC03E2" w:rsidP="008155BD">
      <w:pPr>
        <w:spacing w:line="480" w:lineRule="auto"/>
        <w:ind w:firstLine="720"/>
        <w:jc w:val="center"/>
        <w:rPr>
          <w:rFonts w:ascii="Times New Roman" w:hAnsi="Times New Roman" w:cs="Times New Roman"/>
          <w:sz w:val="24"/>
          <w:szCs w:val="24"/>
        </w:rPr>
      </w:pPr>
      <w:r w:rsidRPr="00E93FFE">
        <w:rPr>
          <w:rFonts w:ascii="Times New Roman" w:hAnsi="Times New Roman" w:cs="Times New Roman"/>
          <w:sz w:val="24"/>
          <w:szCs w:val="24"/>
        </w:rPr>
        <w:t xml:space="preserve"> </w:t>
      </w:r>
    </w:p>
    <w:p w14:paraId="3F14F3E4" w14:textId="77777777" w:rsidR="00011F30" w:rsidRPr="00E93FFE" w:rsidRDefault="00CC03E2" w:rsidP="008155BD">
      <w:pPr>
        <w:spacing w:line="480" w:lineRule="auto"/>
        <w:ind w:firstLine="720"/>
        <w:jc w:val="center"/>
        <w:rPr>
          <w:rFonts w:ascii="Times New Roman" w:hAnsi="Times New Roman" w:cs="Times New Roman"/>
          <w:sz w:val="24"/>
          <w:szCs w:val="24"/>
        </w:rPr>
      </w:pPr>
      <w:r w:rsidRPr="00E93FFE">
        <w:rPr>
          <w:rFonts w:ascii="Times New Roman" w:hAnsi="Times New Roman" w:cs="Times New Roman"/>
          <w:sz w:val="24"/>
          <w:szCs w:val="24"/>
        </w:rPr>
        <w:lastRenderedPageBreak/>
        <w:t>Walmart Bonds</w:t>
      </w:r>
    </w:p>
    <w:p w14:paraId="3A41DF4D" w14:textId="3B013CF7" w:rsidR="00011F30" w:rsidRPr="00E93FFE" w:rsidRDefault="00CC03E2" w:rsidP="008155BD">
      <w:pPr>
        <w:spacing w:line="480" w:lineRule="auto"/>
        <w:ind w:firstLine="720"/>
        <w:rPr>
          <w:rFonts w:ascii="Times New Roman" w:hAnsi="Times New Roman" w:cs="Times New Roman"/>
          <w:sz w:val="24"/>
          <w:szCs w:val="24"/>
        </w:rPr>
      </w:pPr>
      <w:r w:rsidRPr="00E93FFE">
        <w:rPr>
          <w:rFonts w:ascii="Times New Roman" w:hAnsi="Times New Roman" w:cs="Times New Roman"/>
          <w:sz w:val="24"/>
          <w:szCs w:val="24"/>
        </w:rPr>
        <w:t>Walmart issues bonds at $99.92 per unit. The Walmart bond is set to mature on August 15</w:t>
      </w:r>
      <w:r w:rsidRPr="00E93FFE">
        <w:rPr>
          <w:rFonts w:ascii="Times New Roman" w:hAnsi="Times New Roman" w:cs="Times New Roman"/>
          <w:sz w:val="24"/>
          <w:szCs w:val="24"/>
          <w:vertAlign w:val="superscript"/>
        </w:rPr>
        <w:t>th</w:t>
      </w:r>
      <w:r w:rsidRPr="00E93FFE">
        <w:rPr>
          <w:rFonts w:ascii="Times New Roman" w:hAnsi="Times New Roman" w:cs="Times New Roman"/>
          <w:sz w:val="24"/>
          <w:szCs w:val="24"/>
        </w:rPr>
        <w:t>, 2037, offering a coupon worth 6.5000 percent</w:t>
      </w:r>
      <w:r w:rsidR="00280E69" w:rsidRPr="00E93FFE">
        <w:rPr>
          <w:rFonts w:ascii="Times New Roman" w:hAnsi="Times New Roman" w:cs="Times New Roman"/>
          <w:sz w:val="24"/>
          <w:szCs w:val="24"/>
        </w:rPr>
        <w:t xml:space="preserve"> (</w:t>
      </w:r>
      <w:r w:rsidR="00280E69" w:rsidRPr="00E93FFE">
        <w:rPr>
          <w:rFonts w:ascii="Times New Roman" w:hAnsi="Times New Roman" w:cs="Times New Roman"/>
          <w:color w:val="222222"/>
          <w:sz w:val="24"/>
          <w:szCs w:val="24"/>
          <w:shd w:val="clear" w:color="auto" w:fill="FFFFFF"/>
        </w:rPr>
        <w:t>Akins, 2018)</w:t>
      </w:r>
      <w:r w:rsidRPr="00E93FFE">
        <w:rPr>
          <w:rFonts w:ascii="Times New Roman" w:hAnsi="Times New Roman" w:cs="Times New Roman"/>
          <w:sz w:val="24"/>
          <w:szCs w:val="24"/>
        </w:rPr>
        <w:t xml:space="preserve">. </w:t>
      </w:r>
      <w:r w:rsidRPr="00E93FFE">
        <w:rPr>
          <w:rFonts w:ascii="Times New Roman" w:hAnsi="Times New Roman" w:cs="Times New Roman"/>
          <w:sz w:val="24"/>
          <w:szCs w:val="24"/>
        </w:rPr>
        <w:t>Again, this bond was issued on August 24</w:t>
      </w:r>
      <w:r w:rsidRPr="00E93FFE">
        <w:rPr>
          <w:rFonts w:ascii="Times New Roman" w:hAnsi="Times New Roman" w:cs="Times New Roman"/>
          <w:sz w:val="24"/>
          <w:szCs w:val="24"/>
          <w:vertAlign w:val="superscript"/>
        </w:rPr>
        <w:t>th</w:t>
      </w:r>
      <w:r w:rsidRPr="00E93FFE">
        <w:rPr>
          <w:rFonts w:ascii="Times New Roman" w:hAnsi="Times New Roman" w:cs="Times New Roman"/>
          <w:sz w:val="24"/>
          <w:szCs w:val="24"/>
        </w:rPr>
        <w:t xml:space="preserve">, 2007, where its volume at the time was 2.25 billion USD. </w:t>
      </w:r>
      <w:r w:rsidR="005D7741" w:rsidRPr="00E93FFE">
        <w:rPr>
          <w:rFonts w:ascii="Times New Roman" w:hAnsi="Times New Roman" w:cs="Times New Roman"/>
          <w:sz w:val="24"/>
          <w:szCs w:val="24"/>
        </w:rPr>
        <w:t xml:space="preserve">The Moody scores range from 1 to 10 for the companies involved in the selling of bonds. These scores are responsible for evaluating a firm's creditworthiness to determine its capability to settle debts efficiently. </w:t>
      </w:r>
      <w:r w:rsidRPr="00E93FFE">
        <w:rPr>
          <w:rFonts w:ascii="Times New Roman" w:hAnsi="Times New Roman" w:cs="Times New Roman"/>
          <w:sz w:val="24"/>
          <w:szCs w:val="24"/>
        </w:rPr>
        <w:t xml:space="preserve">Walmart’s Moody daily credit risk score stands at </w:t>
      </w:r>
      <w:r w:rsidR="003A4E0E" w:rsidRPr="00E93FFE">
        <w:rPr>
          <w:rFonts w:ascii="Times New Roman" w:hAnsi="Times New Roman" w:cs="Times New Roman"/>
          <w:sz w:val="24"/>
          <w:szCs w:val="24"/>
        </w:rPr>
        <w:t>the Aa2</w:t>
      </w:r>
      <w:r w:rsidRPr="00E93FFE">
        <w:rPr>
          <w:rFonts w:ascii="Times New Roman" w:hAnsi="Times New Roman" w:cs="Times New Roman"/>
          <w:sz w:val="24"/>
          <w:szCs w:val="24"/>
        </w:rPr>
        <w:t xml:space="preserve"> score of a company’s credit risk. This score is calculated considering </w:t>
      </w:r>
      <w:r w:rsidR="003A4E0E" w:rsidRPr="00E93FFE">
        <w:rPr>
          <w:rFonts w:ascii="Times New Roman" w:hAnsi="Times New Roman" w:cs="Times New Roman"/>
          <w:sz w:val="24"/>
          <w:szCs w:val="24"/>
        </w:rPr>
        <w:t>the evaluation of a firm's statement of financial position and the stock market inputs. Again, the score offers a futuristic-looking, one-year credit risk assessment. This measurement helps investors to make effective choices that straighten their work ow. This score is updated daily to incorporate everyday market value shifts compared to an organization's liability framework.</w:t>
      </w:r>
    </w:p>
    <w:p w14:paraId="16980D35" w14:textId="733701BD" w:rsidR="00280E69" w:rsidRPr="00E93FFE" w:rsidRDefault="00CC03E2" w:rsidP="008155BD">
      <w:pPr>
        <w:spacing w:line="480" w:lineRule="auto"/>
        <w:ind w:firstLine="720"/>
        <w:rPr>
          <w:rFonts w:ascii="Times New Roman" w:hAnsi="Times New Roman" w:cs="Times New Roman"/>
          <w:sz w:val="24"/>
          <w:szCs w:val="24"/>
        </w:rPr>
      </w:pPr>
      <w:r w:rsidRPr="00E93FFE">
        <w:rPr>
          <w:rFonts w:ascii="Times New Roman" w:hAnsi="Times New Roman" w:cs="Times New Roman"/>
          <w:sz w:val="24"/>
          <w:szCs w:val="24"/>
        </w:rPr>
        <w:t>Given Walmart's Moody ratings of Aa2, I would probably invest in the company's bonds. Since the credit scores determine the credit quality for certain bonds, with 1 being the highest score and 10 the</w:t>
      </w:r>
      <w:r w:rsidRPr="00E93FFE">
        <w:rPr>
          <w:rFonts w:ascii="Times New Roman" w:hAnsi="Times New Roman" w:cs="Times New Roman"/>
          <w:sz w:val="24"/>
          <w:szCs w:val="24"/>
        </w:rPr>
        <w:t xml:space="preserve"> lowest, it implies that Walmart qualifies to be a high-grade investment grade (</w:t>
      </w:r>
      <w:r w:rsidRPr="00E93FFE">
        <w:rPr>
          <w:rFonts w:ascii="Times New Roman" w:hAnsi="Times New Roman" w:cs="Times New Roman"/>
          <w:color w:val="222222"/>
          <w:sz w:val="24"/>
          <w:szCs w:val="24"/>
          <w:shd w:val="clear" w:color="auto" w:fill="FFFFFF"/>
        </w:rPr>
        <w:t>Akins, 2018)</w:t>
      </w:r>
      <w:r w:rsidRPr="00E93FFE">
        <w:rPr>
          <w:rFonts w:ascii="Times New Roman" w:hAnsi="Times New Roman" w:cs="Times New Roman"/>
          <w:sz w:val="24"/>
          <w:szCs w:val="24"/>
        </w:rPr>
        <w:t>. With an Aa2 rating, it means that the probability of a default is extensively low for Walmart. Therefore, it is less likely that Walmart will not fully pay my deb</w:t>
      </w:r>
      <w:r w:rsidRPr="00E93FFE">
        <w:rPr>
          <w:rFonts w:ascii="Times New Roman" w:hAnsi="Times New Roman" w:cs="Times New Roman"/>
          <w:sz w:val="24"/>
          <w:szCs w:val="24"/>
        </w:rPr>
        <w:t xml:space="preserve">t in the specified timeline. In my opinion, investing in Walmart would make a feasible business venture considering the assurance of </w:t>
      </w:r>
      <w:r w:rsidR="005B1026" w:rsidRPr="00E93FFE">
        <w:rPr>
          <w:rFonts w:ascii="Times New Roman" w:hAnsi="Times New Roman" w:cs="Times New Roman"/>
          <w:sz w:val="24"/>
          <w:szCs w:val="24"/>
        </w:rPr>
        <w:t xml:space="preserve">debt settlement. In addition, interest payment on time is guaranteed with the firm courtesy of its ratings. Lastly, Walmart’s bonds are set to mature in 2037. This time frame offers enough time to measure the probability of </w:t>
      </w:r>
      <w:r w:rsidRPr="00E93FFE">
        <w:rPr>
          <w:rFonts w:ascii="Times New Roman" w:hAnsi="Times New Roman" w:cs="Times New Roman"/>
          <w:sz w:val="24"/>
          <w:szCs w:val="24"/>
        </w:rPr>
        <w:t xml:space="preserve">the bond prices changing to affect the interest rates shifts. Investing in such a long-term bond in a high-grade investment company would make the </w:t>
      </w:r>
      <w:r w:rsidRPr="00E93FFE">
        <w:rPr>
          <w:rFonts w:ascii="Times New Roman" w:hAnsi="Times New Roman" w:cs="Times New Roman"/>
          <w:sz w:val="24"/>
          <w:szCs w:val="24"/>
        </w:rPr>
        <w:t>perfect sense by presenting a high-reliability level</w:t>
      </w:r>
    </w:p>
    <w:p w14:paraId="78BCB694" w14:textId="3404396A" w:rsidR="003A4E0E" w:rsidRPr="00E93FFE" w:rsidRDefault="00CC03E2" w:rsidP="008155BD">
      <w:pPr>
        <w:spacing w:line="480" w:lineRule="auto"/>
        <w:ind w:firstLine="720"/>
        <w:jc w:val="center"/>
        <w:rPr>
          <w:rFonts w:ascii="Times New Roman" w:hAnsi="Times New Roman" w:cs="Times New Roman"/>
          <w:sz w:val="24"/>
          <w:szCs w:val="24"/>
        </w:rPr>
      </w:pPr>
      <w:r w:rsidRPr="00E93FFE">
        <w:rPr>
          <w:rFonts w:ascii="Times New Roman" w:hAnsi="Times New Roman" w:cs="Times New Roman"/>
          <w:sz w:val="24"/>
          <w:szCs w:val="24"/>
        </w:rPr>
        <w:lastRenderedPageBreak/>
        <w:t>References</w:t>
      </w:r>
    </w:p>
    <w:p w14:paraId="33704F8B" w14:textId="7B3C85FE" w:rsidR="00280E69" w:rsidRPr="00E93FFE" w:rsidRDefault="00CC03E2" w:rsidP="008155BD">
      <w:pPr>
        <w:spacing w:line="480" w:lineRule="auto"/>
        <w:ind w:left="720" w:hanging="720"/>
        <w:rPr>
          <w:rFonts w:ascii="Times New Roman" w:hAnsi="Times New Roman" w:cs="Times New Roman"/>
          <w:sz w:val="24"/>
          <w:szCs w:val="24"/>
        </w:rPr>
      </w:pPr>
      <w:r w:rsidRPr="00E93FFE">
        <w:rPr>
          <w:rFonts w:ascii="Times New Roman" w:hAnsi="Times New Roman" w:cs="Times New Roman"/>
          <w:color w:val="222222"/>
          <w:sz w:val="24"/>
          <w:szCs w:val="24"/>
          <w:shd w:val="clear" w:color="auto" w:fill="FFFFFF"/>
        </w:rPr>
        <w:t xml:space="preserve">Akins, B. (2018). Financial reporting quality and uncertainty about credit risk among rating agencies. </w:t>
      </w:r>
      <w:r w:rsidRPr="00E93FFE">
        <w:rPr>
          <w:rFonts w:ascii="Times New Roman" w:hAnsi="Times New Roman" w:cs="Times New Roman"/>
          <w:i/>
          <w:iCs/>
          <w:color w:val="222222"/>
          <w:sz w:val="24"/>
          <w:szCs w:val="24"/>
          <w:shd w:val="clear" w:color="auto" w:fill="FFFFFF"/>
        </w:rPr>
        <w:t>The Accounting Review</w:t>
      </w:r>
      <w:r w:rsidRPr="00E93FFE">
        <w:rPr>
          <w:rFonts w:ascii="Times New Roman" w:hAnsi="Times New Roman" w:cs="Times New Roman"/>
          <w:color w:val="222222"/>
          <w:sz w:val="24"/>
          <w:szCs w:val="24"/>
          <w:shd w:val="clear" w:color="auto" w:fill="FFFFFF"/>
        </w:rPr>
        <w:t>, </w:t>
      </w:r>
      <w:r w:rsidRPr="00E93FFE">
        <w:rPr>
          <w:rFonts w:ascii="Times New Roman" w:hAnsi="Times New Roman" w:cs="Times New Roman"/>
          <w:i/>
          <w:iCs/>
          <w:color w:val="222222"/>
          <w:sz w:val="24"/>
          <w:szCs w:val="24"/>
          <w:shd w:val="clear" w:color="auto" w:fill="FFFFFF"/>
        </w:rPr>
        <w:t>93</w:t>
      </w:r>
      <w:r w:rsidRPr="00E93FFE">
        <w:rPr>
          <w:rFonts w:ascii="Times New Roman" w:hAnsi="Times New Roman" w:cs="Times New Roman"/>
          <w:color w:val="222222"/>
          <w:sz w:val="24"/>
          <w:szCs w:val="24"/>
          <w:shd w:val="clear" w:color="auto" w:fill="FFFFFF"/>
        </w:rPr>
        <w:t>(4), 1-22.</w:t>
      </w:r>
    </w:p>
    <w:sectPr w:rsidR="00280E69" w:rsidRPr="00E93FF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FF080" w14:textId="77777777" w:rsidR="00CC03E2" w:rsidRDefault="00CC03E2">
      <w:pPr>
        <w:spacing w:after="0" w:line="240" w:lineRule="auto"/>
      </w:pPr>
      <w:r>
        <w:separator/>
      </w:r>
    </w:p>
  </w:endnote>
  <w:endnote w:type="continuationSeparator" w:id="0">
    <w:p w14:paraId="37AC24BD" w14:textId="77777777" w:rsidR="00CC03E2" w:rsidRDefault="00CC0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C282B" w14:textId="77777777" w:rsidR="00CC03E2" w:rsidRDefault="00CC03E2">
      <w:pPr>
        <w:spacing w:after="0" w:line="240" w:lineRule="auto"/>
      </w:pPr>
      <w:r>
        <w:separator/>
      </w:r>
    </w:p>
  </w:footnote>
  <w:footnote w:type="continuationSeparator" w:id="0">
    <w:p w14:paraId="1880A3DD" w14:textId="77777777" w:rsidR="00CC03E2" w:rsidRDefault="00CC03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1364585"/>
      <w:docPartObj>
        <w:docPartGallery w:val="Page Numbers (Top of Page)"/>
        <w:docPartUnique/>
      </w:docPartObj>
    </w:sdtPr>
    <w:sdtEndPr>
      <w:rPr>
        <w:rFonts w:ascii="Times New Roman" w:hAnsi="Times New Roman" w:cs="Times New Roman"/>
        <w:noProof/>
        <w:sz w:val="24"/>
        <w:szCs w:val="24"/>
      </w:rPr>
    </w:sdtEndPr>
    <w:sdtContent>
      <w:p w14:paraId="1B4FE05B" w14:textId="6767ED9C" w:rsidR="00011F30" w:rsidRPr="00011F30" w:rsidRDefault="00CC03E2">
        <w:pPr>
          <w:pStyle w:val="Header"/>
          <w:jc w:val="right"/>
          <w:rPr>
            <w:rFonts w:ascii="Times New Roman" w:hAnsi="Times New Roman" w:cs="Times New Roman"/>
            <w:sz w:val="24"/>
            <w:szCs w:val="24"/>
          </w:rPr>
        </w:pPr>
        <w:r w:rsidRPr="00011F30">
          <w:rPr>
            <w:rFonts w:ascii="Times New Roman" w:hAnsi="Times New Roman" w:cs="Times New Roman"/>
            <w:sz w:val="24"/>
            <w:szCs w:val="24"/>
          </w:rPr>
          <w:fldChar w:fldCharType="begin"/>
        </w:r>
        <w:r w:rsidRPr="00011F30">
          <w:rPr>
            <w:rFonts w:ascii="Times New Roman" w:hAnsi="Times New Roman" w:cs="Times New Roman"/>
            <w:sz w:val="24"/>
            <w:szCs w:val="24"/>
          </w:rPr>
          <w:instrText xml:space="preserve"> PAGE   \* MERGEFORMAT </w:instrText>
        </w:r>
        <w:r w:rsidRPr="00011F30">
          <w:rPr>
            <w:rFonts w:ascii="Times New Roman" w:hAnsi="Times New Roman" w:cs="Times New Roman"/>
            <w:sz w:val="24"/>
            <w:szCs w:val="24"/>
          </w:rPr>
          <w:fldChar w:fldCharType="separate"/>
        </w:r>
        <w:r w:rsidRPr="00011F30">
          <w:rPr>
            <w:rFonts w:ascii="Times New Roman" w:hAnsi="Times New Roman" w:cs="Times New Roman"/>
            <w:noProof/>
            <w:sz w:val="24"/>
            <w:szCs w:val="24"/>
          </w:rPr>
          <w:t>2</w:t>
        </w:r>
        <w:r w:rsidRPr="00011F30">
          <w:rPr>
            <w:rFonts w:ascii="Times New Roman" w:hAnsi="Times New Roman" w:cs="Times New Roman"/>
            <w:noProof/>
            <w:sz w:val="24"/>
            <w:szCs w:val="24"/>
          </w:rPr>
          <w:fldChar w:fldCharType="end"/>
        </w:r>
      </w:p>
    </w:sdtContent>
  </w:sdt>
  <w:p w14:paraId="0D269B8D" w14:textId="77777777" w:rsidR="00011F30" w:rsidRDefault="00011F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F30"/>
    <w:rsid w:val="00011F30"/>
    <w:rsid w:val="00280E69"/>
    <w:rsid w:val="003A4E0E"/>
    <w:rsid w:val="005B1026"/>
    <w:rsid w:val="005D7741"/>
    <w:rsid w:val="008155BD"/>
    <w:rsid w:val="00A038D9"/>
    <w:rsid w:val="00CC03E2"/>
    <w:rsid w:val="00E93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4A9E9"/>
  <w15:chartTrackingRefBased/>
  <w15:docId w15:val="{48B65773-427C-4AC1-A16E-BDE284737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1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F30"/>
  </w:style>
  <w:style w:type="paragraph" w:styleId="Footer">
    <w:name w:val="footer"/>
    <w:basedOn w:val="Normal"/>
    <w:link w:val="FooterChar"/>
    <w:uiPriority w:val="99"/>
    <w:unhideWhenUsed/>
    <w:rsid w:val="00011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333</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2021-10-01T15:42:00Z</dcterms:created>
  <dcterms:modified xsi:type="dcterms:W3CDTF">2021-10-01T15:42:00Z</dcterms:modified>
</cp:coreProperties>
</file>